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BF790" w14:textId="77777777" w:rsidR="0068741B" w:rsidRPr="00B81077" w:rsidRDefault="0068741B" w:rsidP="0068741B">
      <w:pPr>
        <w:widowControl w:val="0"/>
        <w:rPr>
          <w:rFonts w:ascii="Cambria" w:hAnsi="Cambria"/>
          <w:sz w:val="20"/>
          <w:szCs w:val="20"/>
        </w:rPr>
      </w:pPr>
      <w:bookmarkStart w:id="0" w:name="_GoBack"/>
      <w:bookmarkEnd w:id="0"/>
    </w:p>
    <w:p w14:paraId="4E55058F" w14:textId="77777777" w:rsidR="0068741B" w:rsidRPr="00B81077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p w14:paraId="2EC32C45" w14:textId="77777777" w:rsidR="0068741B" w:rsidRPr="00B81077" w:rsidRDefault="0068741B" w:rsidP="0068741B">
      <w:pPr>
        <w:widowControl w:val="0"/>
        <w:jc w:val="center"/>
        <w:rPr>
          <w:rFonts w:ascii="Cambria" w:hAnsi="Cambria"/>
          <w:b/>
          <w:sz w:val="28"/>
          <w:szCs w:val="28"/>
        </w:rPr>
      </w:pPr>
      <w:r w:rsidRPr="00B81077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B81077" w:rsidRDefault="0068741B" w:rsidP="0068741B">
      <w:pPr>
        <w:widowControl w:val="0"/>
        <w:rPr>
          <w:rFonts w:ascii="Cambria" w:hAnsi="Cambria"/>
          <w:b/>
          <w:sz w:val="20"/>
          <w:szCs w:val="20"/>
          <w:u w:val="single"/>
        </w:rPr>
      </w:pPr>
    </w:p>
    <w:p w14:paraId="0689B10D" w14:textId="030903B9" w:rsidR="0068741B" w:rsidRPr="00B81077" w:rsidRDefault="0068741B" w:rsidP="0068741B">
      <w:pPr>
        <w:widowControl w:val="0"/>
        <w:rPr>
          <w:rFonts w:ascii="Cambria" w:hAnsi="Cambria"/>
          <w:sz w:val="20"/>
          <w:szCs w:val="20"/>
        </w:rPr>
      </w:pPr>
      <w:r w:rsidRPr="00B81077">
        <w:rPr>
          <w:rFonts w:ascii="Cambria" w:hAnsi="Cambria"/>
          <w:bCs/>
          <w:color w:val="auto"/>
          <w:sz w:val="20"/>
          <w:szCs w:val="20"/>
        </w:rPr>
        <w:t xml:space="preserve">Predmet zákazky: </w:t>
      </w:r>
      <w:r w:rsidR="000A2844" w:rsidRPr="00B81077">
        <w:rPr>
          <w:rFonts w:ascii="Cambria" w:hAnsi="Cambria"/>
          <w:b/>
          <w:bCs/>
          <w:color w:val="auto"/>
          <w:sz w:val="20"/>
          <w:szCs w:val="20"/>
        </w:rPr>
        <w:t xml:space="preserve">Cisternové návesy na </w:t>
      </w:r>
      <w:r w:rsidR="005F5333" w:rsidRPr="00B81077">
        <w:rPr>
          <w:rFonts w:ascii="Cambria" w:hAnsi="Cambria"/>
          <w:b/>
          <w:bCs/>
          <w:color w:val="auto"/>
          <w:sz w:val="20"/>
          <w:szCs w:val="20"/>
        </w:rPr>
        <w:t>prevoz</w:t>
      </w:r>
      <w:r w:rsidR="000A2844" w:rsidRPr="00B81077">
        <w:rPr>
          <w:rFonts w:ascii="Cambria" w:hAnsi="Cambria"/>
          <w:b/>
          <w:bCs/>
          <w:color w:val="auto"/>
          <w:sz w:val="20"/>
          <w:szCs w:val="20"/>
        </w:rPr>
        <w:t xml:space="preserve"> LNG</w:t>
      </w:r>
    </w:p>
    <w:p w14:paraId="6B59FC43" w14:textId="77777777" w:rsidR="0068741B" w:rsidRPr="00B81077" w:rsidRDefault="0068741B" w:rsidP="0068741B">
      <w:pPr>
        <w:widowControl w:val="0"/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5000" w:type="pct"/>
        <w:tblInd w:w="-5" w:type="dxa"/>
        <w:tblBorders>
          <w:top w:val="single" w:sz="4" w:space="0" w:color="008998"/>
          <w:left w:val="single" w:sz="4" w:space="0" w:color="008998"/>
          <w:bottom w:val="single" w:sz="4" w:space="0" w:color="008998"/>
          <w:right w:val="single" w:sz="4" w:space="0" w:color="008998"/>
          <w:insideH w:val="single" w:sz="4" w:space="0" w:color="008998"/>
          <w:insideV w:val="single" w:sz="4" w:space="0" w:color="008998"/>
        </w:tblBorders>
        <w:tblLook w:val="04A0" w:firstRow="1" w:lastRow="0" w:firstColumn="1" w:lastColumn="0" w:noHBand="0" w:noVBand="1"/>
      </w:tblPr>
      <w:tblGrid>
        <w:gridCol w:w="4486"/>
        <w:gridCol w:w="2287"/>
        <w:gridCol w:w="2289"/>
      </w:tblGrid>
      <w:tr w:rsidR="0068741B" w:rsidRPr="00B81077" w14:paraId="1B0C9C14" w14:textId="77777777" w:rsidTr="00AD5FF9">
        <w:trPr>
          <w:trHeight w:val="304"/>
        </w:trPr>
        <w:tc>
          <w:tcPr>
            <w:tcW w:w="2475" w:type="pct"/>
            <w:shd w:val="clear" w:color="auto" w:fill="BFBFBF" w:themeFill="background1" w:themeFillShade="BF"/>
            <w:hideMark/>
          </w:tcPr>
          <w:p w14:paraId="762F8D8C" w14:textId="77777777" w:rsidR="0068741B" w:rsidRPr="00B81077" w:rsidRDefault="0068741B" w:rsidP="00EE7040">
            <w:pPr>
              <w:widowControl w:val="0"/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  <w:t>Obchodné meno a</w:t>
            </w:r>
            <w:r w:rsidRPr="00B81077">
              <w:rPr>
                <w:rFonts w:ascii="Cambria" w:hAnsi="Cambria" w:cs="Calibri"/>
                <w:b/>
                <w:bCs/>
                <w:color w:val="008998"/>
                <w:sz w:val="20"/>
                <w:szCs w:val="20"/>
                <w:lang w:val="sk-SK"/>
              </w:rPr>
              <w:t> </w:t>
            </w:r>
            <w:r w:rsidRPr="00B81077"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  <w:t>s</w:t>
            </w:r>
            <w:r w:rsidRPr="00B81077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  <w:lang w:val="sk-SK"/>
              </w:rPr>
              <w:t>í</w:t>
            </w:r>
            <w:r w:rsidRPr="00B81077"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  <w:t>dlo uch</w:t>
            </w:r>
            <w:r w:rsidRPr="00B81077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  <w:lang w:val="sk-SK"/>
              </w:rPr>
              <w:t>á</w:t>
            </w:r>
            <w:r w:rsidRPr="00B81077"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  <w:t>dza</w:t>
            </w:r>
            <w:r w:rsidRPr="00B81077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  <w:lang w:val="sk-SK"/>
              </w:rPr>
              <w:t>č</w:t>
            </w:r>
            <w:r w:rsidRPr="00B81077">
              <w:rPr>
                <w:rFonts w:ascii="Cambria" w:hAnsi="Cambria"/>
                <w:b/>
                <w:bCs/>
                <w:color w:val="008998"/>
                <w:sz w:val="20"/>
                <w:szCs w:val="20"/>
                <w:lang w:val="sk-SK"/>
              </w:rPr>
              <w:t>a:</w:t>
            </w:r>
          </w:p>
        </w:tc>
        <w:tc>
          <w:tcPr>
            <w:tcW w:w="2525" w:type="pct"/>
            <w:gridSpan w:val="2"/>
            <w:hideMark/>
          </w:tcPr>
          <w:p w14:paraId="195633C4" w14:textId="77777777" w:rsidR="0068741B" w:rsidRPr="00B81077" w:rsidRDefault="0068741B" w:rsidP="00EE7040">
            <w:pPr>
              <w:widowControl w:val="0"/>
              <w:rPr>
                <w:rFonts w:ascii="Cambria" w:hAnsi="Cambria"/>
                <w:i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/>
                <w:i/>
                <w:sz w:val="20"/>
                <w:szCs w:val="20"/>
                <w:lang w:val="sk-SK"/>
              </w:rPr>
              <w:t>doplniť</w:t>
            </w:r>
          </w:p>
        </w:tc>
      </w:tr>
      <w:tr w:rsidR="0068741B" w:rsidRPr="00B81077" w14:paraId="784DB38F" w14:textId="77777777" w:rsidTr="00AD5FF9">
        <w:trPr>
          <w:trHeight w:val="304"/>
        </w:trPr>
        <w:tc>
          <w:tcPr>
            <w:tcW w:w="2475" w:type="pct"/>
            <w:shd w:val="clear" w:color="auto" w:fill="BFBFBF" w:themeFill="background1" w:themeFillShade="BF"/>
            <w:hideMark/>
          </w:tcPr>
          <w:p w14:paraId="4DCC75BE" w14:textId="77777777" w:rsidR="0068741B" w:rsidRPr="00B81077" w:rsidRDefault="0068741B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/>
                <w:b/>
                <w:color w:val="008998"/>
                <w:sz w:val="20"/>
                <w:szCs w:val="20"/>
                <w:lang w:val="sk-SK"/>
              </w:rPr>
              <w:t>Uchádzač je registrovaným platiteľom DPH v SR:</w:t>
            </w:r>
          </w:p>
        </w:tc>
        <w:tc>
          <w:tcPr>
            <w:tcW w:w="1262" w:type="pct"/>
            <w:hideMark/>
          </w:tcPr>
          <w:p w14:paraId="37CDE8FE" w14:textId="77777777" w:rsidR="0068741B" w:rsidRPr="00B81077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>áno</w:t>
            </w:r>
          </w:p>
        </w:tc>
        <w:tc>
          <w:tcPr>
            <w:tcW w:w="1263" w:type="pct"/>
            <w:hideMark/>
          </w:tcPr>
          <w:p w14:paraId="7170327C" w14:textId="77777777" w:rsidR="0068741B" w:rsidRPr="00B81077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>nie</w:t>
            </w:r>
          </w:p>
        </w:tc>
      </w:tr>
      <w:tr w:rsidR="0068741B" w:rsidRPr="00B81077" w14:paraId="0F4FAEA2" w14:textId="77777777" w:rsidTr="00AD5FF9">
        <w:trPr>
          <w:trHeight w:val="322"/>
        </w:trPr>
        <w:tc>
          <w:tcPr>
            <w:tcW w:w="2475" w:type="pct"/>
            <w:shd w:val="clear" w:color="auto" w:fill="BFBFBF" w:themeFill="background1" w:themeFillShade="BF"/>
            <w:hideMark/>
          </w:tcPr>
          <w:p w14:paraId="57EE602C" w14:textId="77777777" w:rsidR="0068741B" w:rsidRPr="00B81077" w:rsidRDefault="0068741B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/>
                <w:b/>
                <w:color w:val="008998"/>
                <w:sz w:val="20"/>
                <w:szCs w:val="20"/>
                <w:lang w:val="sk-SK"/>
              </w:rPr>
              <w:t>Kritérium na vyhodnotenie ponúk:</w:t>
            </w:r>
          </w:p>
        </w:tc>
        <w:tc>
          <w:tcPr>
            <w:tcW w:w="2525" w:type="pct"/>
            <w:gridSpan w:val="2"/>
            <w:hideMark/>
          </w:tcPr>
          <w:p w14:paraId="6EEC4F20" w14:textId="12FBBD48" w:rsidR="0068741B" w:rsidRPr="00B81077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>Najnižšia cena</w:t>
            </w:r>
            <w:r w:rsidR="006D48EC" w:rsidRPr="00B81077">
              <w:rPr>
                <w:rFonts w:ascii="Cambria" w:hAnsi="Cambria"/>
                <w:sz w:val="20"/>
                <w:szCs w:val="20"/>
                <w:lang w:val="sk-SK"/>
              </w:rPr>
              <w:t xml:space="preserve"> v EUR</w:t>
            </w: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r w:rsidR="00A77414" w:rsidRPr="00B81077">
              <w:rPr>
                <w:rFonts w:ascii="Cambria" w:hAnsi="Cambria"/>
                <w:sz w:val="20"/>
                <w:szCs w:val="20"/>
                <w:lang w:val="sk-SK"/>
              </w:rPr>
              <w:t>bez DPH</w:t>
            </w:r>
          </w:p>
          <w:p w14:paraId="7AA461FA" w14:textId="77777777" w:rsidR="0068741B" w:rsidRPr="00B81077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</w:tbl>
    <w:p w14:paraId="48F1E2C8" w14:textId="77777777" w:rsidR="00F630D7" w:rsidRPr="00B81077" w:rsidRDefault="00F630D7" w:rsidP="0068741B">
      <w:pPr>
        <w:widowControl w:val="0"/>
        <w:rPr>
          <w:rFonts w:ascii="Cambria" w:hAnsi="Cambria"/>
          <w:b/>
          <w:sz w:val="20"/>
          <w:szCs w:val="20"/>
        </w:rPr>
      </w:pPr>
    </w:p>
    <w:p w14:paraId="1E006B55" w14:textId="652348BC" w:rsidR="0068741B" w:rsidRPr="00B81077" w:rsidRDefault="0068741B" w:rsidP="0068741B">
      <w:pPr>
        <w:widowControl w:val="0"/>
        <w:rPr>
          <w:rFonts w:ascii="Cambria" w:hAnsi="Cambria" w:cs="Arial"/>
          <w:b/>
          <w:sz w:val="20"/>
          <w:szCs w:val="20"/>
        </w:rPr>
      </w:pPr>
      <w:r w:rsidRPr="00B81077">
        <w:rPr>
          <w:rFonts w:ascii="Cambria" w:hAnsi="Cambria" w:cs="Arial"/>
          <w:b/>
          <w:sz w:val="20"/>
          <w:szCs w:val="20"/>
        </w:rPr>
        <w:t xml:space="preserve">Rozpis cien </w:t>
      </w:r>
    </w:p>
    <w:p w14:paraId="15AA407F" w14:textId="77777777" w:rsidR="00B20243" w:rsidRPr="00B81077" w:rsidRDefault="00B20243" w:rsidP="0068741B">
      <w:pPr>
        <w:widowControl w:val="0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9299" w:type="dxa"/>
        <w:tblInd w:w="-5" w:type="dxa"/>
        <w:tblLook w:val="04A0" w:firstRow="1" w:lastRow="0" w:firstColumn="1" w:lastColumn="0" w:noHBand="0" w:noVBand="1"/>
      </w:tblPr>
      <w:tblGrid>
        <w:gridCol w:w="5635"/>
        <w:gridCol w:w="1832"/>
        <w:gridCol w:w="1832"/>
      </w:tblGrid>
      <w:tr w:rsidR="007664CC" w:rsidRPr="00B81077" w14:paraId="731CB7D4" w14:textId="77777777" w:rsidTr="008609CC">
        <w:trPr>
          <w:trHeight w:val="614"/>
        </w:trPr>
        <w:tc>
          <w:tcPr>
            <w:tcW w:w="5670" w:type="dxa"/>
            <w:shd w:val="clear" w:color="auto" w:fill="BFBFBF" w:themeFill="background1" w:themeFillShade="BF"/>
          </w:tcPr>
          <w:p w14:paraId="657C80A9" w14:textId="49F60322" w:rsidR="007664CC" w:rsidRPr="00B81077" w:rsidRDefault="007664CC" w:rsidP="00966662">
            <w:pPr>
              <w:widowControl w:val="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Názov položky</w:t>
            </w:r>
          </w:p>
        </w:tc>
        <w:tc>
          <w:tcPr>
            <w:tcW w:w="1837" w:type="dxa"/>
            <w:shd w:val="clear" w:color="auto" w:fill="BFBFBF" w:themeFill="background1" w:themeFillShade="BF"/>
          </w:tcPr>
          <w:p w14:paraId="7460C150" w14:textId="5A1911C4" w:rsidR="007664CC" w:rsidRPr="00B81077" w:rsidRDefault="007664CC" w:rsidP="00966662">
            <w:pPr>
              <w:widowControl w:val="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 xml:space="preserve">Cena za 1 ks </w:t>
            </w:r>
            <w:r w:rsidR="00D50C0A"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 xml:space="preserve">(jedno Dielo) </w:t>
            </w: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v EUR bez DPH</w:t>
            </w:r>
          </w:p>
        </w:tc>
        <w:tc>
          <w:tcPr>
            <w:tcW w:w="1837" w:type="dxa"/>
            <w:shd w:val="clear" w:color="auto" w:fill="BFBFBF" w:themeFill="background1" w:themeFillShade="BF"/>
          </w:tcPr>
          <w:p w14:paraId="3EE505CF" w14:textId="2F04C3EA" w:rsidR="007664CC" w:rsidRPr="00B81077" w:rsidRDefault="007664CC" w:rsidP="00805177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 xml:space="preserve">Celková cena za </w:t>
            </w:r>
            <w:r w:rsidR="00D50C0A"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 xml:space="preserve">2 </w:t>
            </w: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 xml:space="preserve">ks </w:t>
            </w:r>
            <w:r w:rsidR="00D50C0A"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 xml:space="preserve">(Dielo 1 a Dielo 2) </w:t>
            </w: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v</w:t>
            </w:r>
            <w:r w:rsidRPr="00B81077">
              <w:rPr>
                <w:rFonts w:ascii="Cambria" w:hAnsi="Cambria" w:cs="Calibri"/>
                <w:b/>
                <w:color w:val="008998"/>
                <w:sz w:val="20"/>
                <w:szCs w:val="20"/>
                <w:lang w:val="sk-SK"/>
              </w:rPr>
              <w:t> </w:t>
            </w: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EUR bez DPH</w:t>
            </w:r>
          </w:p>
        </w:tc>
      </w:tr>
      <w:tr w:rsidR="007664CC" w:rsidRPr="00B81077" w14:paraId="212214F1" w14:textId="77777777" w:rsidTr="008609CC">
        <w:trPr>
          <w:trHeight w:val="1130"/>
        </w:trPr>
        <w:tc>
          <w:tcPr>
            <w:tcW w:w="5670" w:type="dxa"/>
            <w:vAlign w:val="center"/>
          </w:tcPr>
          <w:p w14:paraId="3B632B81" w14:textId="1B4C9DFD" w:rsidR="007664CC" w:rsidRPr="00B81077" w:rsidRDefault="00D50C0A" w:rsidP="00805177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Cena za dodávku Diela 1 a Diela 2 - Cisternových návesov (s min. objemom 50.000 l) (vrátane ostatných súvisiacich plnení spojených s dodaním Diela)</w:t>
            </w:r>
          </w:p>
        </w:tc>
        <w:tc>
          <w:tcPr>
            <w:tcW w:w="1837" w:type="dxa"/>
            <w:vAlign w:val="center"/>
          </w:tcPr>
          <w:p w14:paraId="6688D09F" w14:textId="0E6CB440" w:rsidR="007664CC" w:rsidRPr="00B81077" w:rsidRDefault="00B81077" w:rsidP="00805177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[</w:t>
            </w:r>
            <w:r w:rsidR="007664CC" w:rsidRPr="00B81077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Doplniť kladné číslo zaokrúhlené na maximálne dve desatinné miesta</w:t>
            </w:r>
            <w:r w:rsidRPr="00B81077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]</w:t>
            </w:r>
          </w:p>
        </w:tc>
        <w:tc>
          <w:tcPr>
            <w:tcW w:w="1837" w:type="dxa"/>
            <w:vAlign w:val="center"/>
          </w:tcPr>
          <w:p w14:paraId="29B85F05" w14:textId="632270C2" w:rsidR="007664CC" w:rsidRPr="00B81077" w:rsidRDefault="00B81077" w:rsidP="00805177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[Doplniť kladné číslo zaokrúhlené na maximálne dve desatinné miesta]</w:t>
            </w:r>
          </w:p>
        </w:tc>
      </w:tr>
      <w:tr w:rsidR="00D50C0A" w:rsidRPr="00B81077" w14:paraId="69518EA0" w14:textId="77777777" w:rsidTr="008609CC">
        <w:trPr>
          <w:trHeight w:val="1130"/>
        </w:trPr>
        <w:tc>
          <w:tcPr>
            <w:tcW w:w="5670" w:type="dxa"/>
            <w:vAlign w:val="center"/>
          </w:tcPr>
          <w:p w14:paraId="41E2BB83" w14:textId="585FBA8F" w:rsidR="00D50C0A" w:rsidRPr="00B81077" w:rsidRDefault="00D50C0A" w:rsidP="00D50C0A">
            <w:pPr>
              <w:widowControl w:val="0"/>
              <w:spacing w:before="120" w:after="12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B8107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Cena za dodávku Diela 3 -  Cisternového návesu (s min. objemom 40.000 l, ktorý je vybavený doplnkovým vybavením) (vrátane ostatných súvisiacich plnení spojených s dodaním Diela)</w:t>
            </w:r>
          </w:p>
        </w:tc>
        <w:tc>
          <w:tcPr>
            <w:tcW w:w="1837" w:type="dxa"/>
            <w:vAlign w:val="center"/>
          </w:tcPr>
          <w:p w14:paraId="32405E84" w14:textId="05633D9C" w:rsidR="00D50C0A" w:rsidRPr="00B81077" w:rsidRDefault="00B81077" w:rsidP="00D50C0A">
            <w:pPr>
              <w:widowControl w:val="0"/>
              <w:spacing w:before="120" w:after="120"/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[Doplniť kladné číslo zaokrúhlené na maximálne dve desatinné miesta]</w:t>
            </w:r>
          </w:p>
        </w:tc>
        <w:tc>
          <w:tcPr>
            <w:tcW w:w="1837" w:type="dxa"/>
            <w:vAlign w:val="center"/>
          </w:tcPr>
          <w:p w14:paraId="6A76C431" w14:textId="3235C54B" w:rsidR="00D50C0A" w:rsidRPr="00B81077" w:rsidRDefault="00D50C0A" w:rsidP="00D50C0A">
            <w:pPr>
              <w:widowControl w:val="0"/>
              <w:spacing w:before="120" w:after="120"/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N/A</w:t>
            </w:r>
          </w:p>
        </w:tc>
      </w:tr>
    </w:tbl>
    <w:p w14:paraId="5DCCD1F5" w14:textId="77777777" w:rsidR="000F2663" w:rsidRPr="00B81077" w:rsidRDefault="000F2663" w:rsidP="0068741B">
      <w:pPr>
        <w:widowControl w:val="0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9322" w:type="dxa"/>
        <w:tblInd w:w="-5" w:type="dxa"/>
        <w:tblLook w:val="04A0" w:firstRow="1" w:lastRow="0" w:firstColumn="1" w:lastColumn="0" w:noHBand="0" w:noVBand="1"/>
      </w:tblPr>
      <w:tblGrid>
        <w:gridCol w:w="3814"/>
        <w:gridCol w:w="1836"/>
        <w:gridCol w:w="1836"/>
        <w:gridCol w:w="1836"/>
      </w:tblGrid>
      <w:tr w:rsidR="005C2135" w:rsidRPr="00B81077" w14:paraId="3BFE513A" w14:textId="4B81E358" w:rsidTr="00B81077">
        <w:trPr>
          <w:trHeight w:val="638"/>
        </w:trPr>
        <w:tc>
          <w:tcPr>
            <w:tcW w:w="3814" w:type="dxa"/>
            <w:shd w:val="clear" w:color="auto" w:fill="BFBFBF" w:themeFill="background1" w:themeFillShade="BF"/>
          </w:tcPr>
          <w:p w14:paraId="41F06052" w14:textId="77777777" w:rsidR="005C2135" w:rsidRPr="00B81077" w:rsidRDefault="005C2135" w:rsidP="005C2135">
            <w:pPr>
              <w:widowControl w:val="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Názov položky</w:t>
            </w:r>
          </w:p>
        </w:tc>
        <w:tc>
          <w:tcPr>
            <w:tcW w:w="1836" w:type="dxa"/>
            <w:shd w:val="clear" w:color="auto" w:fill="BFBFBF" w:themeFill="background1" w:themeFillShade="BF"/>
          </w:tcPr>
          <w:p w14:paraId="3DAC0A86" w14:textId="5A3941BA" w:rsidR="005C2135" w:rsidRPr="00B81077" w:rsidRDefault="005C2135" w:rsidP="005F5333">
            <w:pPr>
              <w:widowControl w:val="0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Cena za Servis 1 ks Cisternového návesu bez DPH / 1 rok</w:t>
            </w:r>
          </w:p>
        </w:tc>
        <w:tc>
          <w:tcPr>
            <w:tcW w:w="1836" w:type="dxa"/>
            <w:shd w:val="clear" w:color="auto" w:fill="BFBFBF" w:themeFill="background1" w:themeFillShade="BF"/>
          </w:tcPr>
          <w:p w14:paraId="0C1C7D44" w14:textId="6B9B3FCD" w:rsidR="005C2135" w:rsidRPr="00B81077" w:rsidRDefault="005C2135" w:rsidP="005F5333">
            <w:pPr>
              <w:widowControl w:val="0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Cena za Servis 1 ks Cisternového návesu bez DPH / 5 rokov</w:t>
            </w:r>
          </w:p>
        </w:tc>
        <w:tc>
          <w:tcPr>
            <w:tcW w:w="1836" w:type="dxa"/>
            <w:shd w:val="clear" w:color="auto" w:fill="BFBFBF" w:themeFill="background1" w:themeFillShade="BF"/>
          </w:tcPr>
          <w:p w14:paraId="50FB85FA" w14:textId="2C1EA129" w:rsidR="005C2135" w:rsidRPr="00B81077" w:rsidRDefault="005C2135" w:rsidP="005F5333">
            <w:pPr>
              <w:widowControl w:val="0"/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b/>
                <w:color w:val="008998"/>
                <w:sz w:val="20"/>
                <w:szCs w:val="20"/>
                <w:lang w:val="sk-SK"/>
              </w:rPr>
              <w:t>Cena za Servis 2 ks Cisternových návesov bez DPH / 5 rokov</w:t>
            </w:r>
          </w:p>
        </w:tc>
      </w:tr>
      <w:tr w:rsidR="00B81077" w:rsidRPr="00B81077" w14:paraId="11530D48" w14:textId="5C4FADF2" w:rsidTr="00B81077">
        <w:trPr>
          <w:trHeight w:val="1175"/>
        </w:trPr>
        <w:tc>
          <w:tcPr>
            <w:tcW w:w="3814" w:type="dxa"/>
            <w:vAlign w:val="center"/>
          </w:tcPr>
          <w:p w14:paraId="6DA67216" w14:textId="575B638C" w:rsidR="00B81077" w:rsidRPr="00B81077" w:rsidRDefault="00B81077" w:rsidP="00B81077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B81077">
              <w:rPr>
                <w:rFonts w:ascii="Cambria" w:hAnsi="Cambria" w:cs="Arial"/>
                <w:color w:val="auto"/>
                <w:sz w:val="20"/>
                <w:szCs w:val="20"/>
                <w:lang w:val="sk-SK"/>
              </w:rPr>
              <w:t xml:space="preserve">Servis </w:t>
            </w:r>
            <w:r w:rsidRPr="00B8107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Diela 1 a Diela 2 - Cisternových návesov s min. objemom 50.000 l</w:t>
            </w:r>
          </w:p>
        </w:tc>
        <w:tc>
          <w:tcPr>
            <w:tcW w:w="1836" w:type="dxa"/>
          </w:tcPr>
          <w:p w14:paraId="25739873" w14:textId="2E6B132E" w:rsidR="00B81077" w:rsidRPr="00B81077" w:rsidRDefault="00B81077" w:rsidP="00B81077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[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kladné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číslo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zaokrúhlené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na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maximálne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dve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desatinné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miesta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]</w:t>
            </w:r>
          </w:p>
        </w:tc>
        <w:tc>
          <w:tcPr>
            <w:tcW w:w="1836" w:type="dxa"/>
          </w:tcPr>
          <w:p w14:paraId="5EAC4154" w14:textId="089E464D" w:rsidR="00B81077" w:rsidRPr="00B81077" w:rsidRDefault="00B81077" w:rsidP="00B81077">
            <w:pPr>
              <w:widowControl w:val="0"/>
              <w:spacing w:before="120" w:after="1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[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kladné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číslo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zaokrúhlené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na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maximálne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dve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desatinné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miesta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]</w:t>
            </w:r>
          </w:p>
        </w:tc>
        <w:tc>
          <w:tcPr>
            <w:tcW w:w="1836" w:type="dxa"/>
          </w:tcPr>
          <w:p w14:paraId="77D10CDB" w14:textId="6169496B" w:rsidR="00B81077" w:rsidRPr="00B81077" w:rsidRDefault="00B81077" w:rsidP="00B81077">
            <w:pPr>
              <w:widowControl w:val="0"/>
              <w:spacing w:before="120" w:after="120"/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</w:pPr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[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kladné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číslo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zaokrúhlené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na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maximálne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dve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desatinné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miesta</w:t>
            </w:r>
            <w:proofErr w:type="spellEnd"/>
            <w:r w:rsidRPr="005A78EA">
              <w:rPr>
                <w:rFonts w:ascii="Cambria" w:hAnsi="Cambria" w:cs="Arial"/>
                <w:i/>
                <w:color w:val="auto"/>
                <w:sz w:val="20"/>
                <w:szCs w:val="20"/>
              </w:rPr>
              <w:t>]</w:t>
            </w:r>
          </w:p>
        </w:tc>
      </w:tr>
      <w:tr w:rsidR="00B81077" w:rsidRPr="00B81077" w14:paraId="5E4BBD3A" w14:textId="77777777" w:rsidTr="00B81077">
        <w:trPr>
          <w:trHeight w:val="1175"/>
        </w:trPr>
        <w:tc>
          <w:tcPr>
            <w:tcW w:w="3814" w:type="dxa"/>
            <w:vAlign w:val="center"/>
          </w:tcPr>
          <w:p w14:paraId="1DE3EE8F" w14:textId="06324637" w:rsidR="00B81077" w:rsidRPr="00B81077" w:rsidRDefault="00B81077" w:rsidP="00B81077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B81077">
              <w:rPr>
                <w:rFonts w:ascii="Cambria" w:hAnsi="Cambria" w:cs="Arial"/>
                <w:color w:val="auto"/>
                <w:sz w:val="20"/>
                <w:szCs w:val="20"/>
                <w:lang w:val="sk-SK"/>
              </w:rPr>
              <w:t>Servis Diela 3 – Cisternového návesu s min. objemom 40.000 l,</w:t>
            </w:r>
            <w:r w:rsidRPr="00B8107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 xml:space="preserve"> ktorý je vybavený doplnkovým vybavením</w:t>
            </w:r>
          </w:p>
        </w:tc>
        <w:tc>
          <w:tcPr>
            <w:tcW w:w="1836" w:type="dxa"/>
          </w:tcPr>
          <w:p w14:paraId="4C43A4E9" w14:textId="25A0161D" w:rsidR="00B81077" w:rsidRPr="00B81077" w:rsidRDefault="00B81077" w:rsidP="00B81077">
            <w:pPr>
              <w:widowControl w:val="0"/>
              <w:spacing w:before="120" w:after="120"/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</w:pPr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[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kladné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číslo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zaokrúhlené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na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maximálne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dve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desatinné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miesta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]</w:t>
            </w:r>
          </w:p>
        </w:tc>
        <w:tc>
          <w:tcPr>
            <w:tcW w:w="1836" w:type="dxa"/>
          </w:tcPr>
          <w:p w14:paraId="5A1A6AFD" w14:textId="20FAF877" w:rsidR="00B81077" w:rsidRPr="00B81077" w:rsidRDefault="00B81077" w:rsidP="00B81077">
            <w:pPr>
              <w:widowControl w:val="0"/>
              <w:spacing w:before="120" w:after="120"/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</w:pPr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[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kladné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číslo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zaokrúhlené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na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maximálne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dve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desatinné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miesta</w:t>
            </w:r>
            <w:proofErr w:type="spellEnd"/>
            <w:r w:rsidRPr="00A03D54">
              <w:rPr>
                <w:rFonts w:ascii="Cambria" w:hAnsi="Cambria" w:cs="Arial"/>
                <w:i/>
                <w:color w:val="auto"/>
                <w:sz w:val="20"/>
                <w:szCs w:val="20"/>
              </w:rPr>
              <w:t>]</w:t>
            </w:r>
          </w:p>
        </w:tc>
        <w:tc>
          <w:tcPr>
            <w:tcW w:w="1836" w:type="dxa"/>
            <w:vAlign w:val="center"/>
          </w:tcPr>
          <w:p w14:paraId="42875EC7" w14:textId="4537B600" w:rsidR="00B81077" w:rsidRPr="00B81077" w:rsidRDefault="00B81077" w:rsidP="00B81077">
            <w:pPr>
              <w:widowControl w:val="0"/>
              <w:spacing w:before="120" w:after="120"/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 w:cs="Arial"/>
                <w:i/>
                <w:color w:val="auto"/>
                <w:sz w:val="20"/>
                <w:szCs w:val="20"/>
                <w:lang w:val="sk-SK"/>
              </w:rPr>
              <w:t>N/A</w:t>
            </w:r>
          </w:p>
        </w:tc>
      </w:tr>
    </w:tbl>
    <w:p w14:paraId="69AF5CCA" w14:textId="77777777" w:rsidR="006D48EC" w:rsidRPr="00B81077" w:rsidRDefault="006D48EC" w:rsidP="0068741B">
      <w:pPr>
        <w:widowControl w:val="0"/>
        <w:rPr>
          <w:rFonts w:ascii="Cambria" w:hAnsi="Cambria" w:cs="Arial"/>
          <w:sz w:val="20"/>
          <w:szCs w:val="20"/>
        </w:rPr>
      </w:pPr>
    </w:p>
    <w:p w14:paraId="620A9233" w14:textId="6E72677C" w:rsidR="0068741B" w:rsidRPr="00B81077" w:rsidRDefault="0068741B" w:rsidP="0068741B">
      <w:pPr>
        <w:widowControl w:val="0"/>
        <w:rPr>
          <w:rFonts w:ascii="Cambria" w:hAnsi="Cambria"/>
          <w:sz w:val="20"/>
          <w:szCs w:val="20"/>
        </w:rPr>
      </w:pPr>
      <w:r w:rsidRPr="00B81077">
        <w:rPr>
          <w:rFonts w:ascii="Cambria" w:hAnsi="Cambria"/>
          <w:sz w:val="20"/>
          <w:szCs w:val="20"/>
        </w:rPr>
        <w:t>SUMARIZÁCIA SPOLU</w:t>
      </w:r>
    </w:p>
    <w:p w14:paraId="35F8DF82" w14:textId="77777777" w:rsidR="00B20243" w:rsidRPr="00B81077" w:rsidRDefault="00B20243" w:rsidP="0068741B">
      <w:pPr>
        <w:widowControl w:val="0"/>
        <w:rPr>
          <w:rFonts w:ascii="Cambria" w:hAnsi="Cambria"/>
          <w:sz w:val="20"/>
          <w:szCs w:val="20"/>
        </w:rPr>
      </w:pPr>
    </w:p>
    <w:tbl>
      <w:tblPr>
        <w:tblW w:w="5162" w:type="pct"/>
        <w:tblInd w:w="-5" w:type="dxa"/>
        <w:tblBorders>
          <w:top w:val="single" w:sz="4" w:space="0" w:color="008998"/>
          <w:left w:val="single" w:sz="4" w:space="0" w:color="008998"/>
          <w:bottom w:val="single" w:sz="4" w:space="0" w:color="008998"/>
          <w:right w:val="single" w:sz="4" w:space="0" w:color="008998"/>
          <w:insideH w:val="single" w:sz="4" w:space="0" w:color="008998"/>
          <w:insideV w:val="single" w:sz="4" w:space="0" w:color="008998"/>
        </w:tblBorders>
        <w:shd w:val="clear" w:color="auto" w:fill="FFFFFF"/>
        <w:tblLook w:val="04A0" w:firstRow="1" w:lastRow="0" w:firstColumn="1" w:lastColumn="0" w:noHBand="0" w:noVBand="1"/>
      </w:tblPr>
      <w:tblGrid>
        <w:gridCol w:w="5670"/>
        <w:gridCol w:w="1843"/>
        <w:gridCol w:w="1843"/>
      </w:tblGrid>
      <w:tr w:rsidR="0068741B" w:rsidRPr="00B81077" w14:paraId="7F12DD8B" w14:textId="77777777" w:rsidTr="00014B2C">
        <w:trPr>
          <w:trHeight w:val="240"/>
        </w:trPr>
        <w:tc>
          <w:tcPr>
            <w:tcW w:w="3030" w:type="pct"/>
            <w:shd w:val="clear" w:color="auto" w:fill="BFBFBF" w:themeFill="background1" w:themeFillShade="BF"/>
            <w:hideMark/>
          </w:tcPr>
          <w:p w14:paraId="4A978B5D" w14:textId="6CE9D8B9" w:rsidR="0068741B" w:rsidRPr="00B81077" w:rsidRDefault="0068741B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B81077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Názov </w:t>
            </w:r>
            <w:r w:rsidR="00D57514" w:rsidRPr="00B81077">
              <w:rPr>
                <w:rFonts w:ascii="Cambria" w:hAnsi="Cambria"/>
                <w:b/>
                <w:color w:val="008998"/>
                <w:sz w:val="20"/>
                <w:szCs w:val="20"/>
              </w:rPr>
              <w:t>položky</w:t>
            </w:r>
          </w:p>
        </w:tc>
        <w:tc>
          <w:tcPr>
            <w:tcW w:w="985" w:type="pct"/>
            <w:shd w:val="clear" w:color="auto" w:fill="BFBFBF" w:themeFill="background1" w:themeFillShade="BF"/>
            <w:hideMark/>
          </w:tcPr>
          <w:p w14:paraId="32CA4AA6" w14:textId="77777777" w:rsidR="0068741B" w:rsidRPr="00B81077" w:rsidRDefault="0068741B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B81077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Merná jednotka </w:t>
            </w:r>
          </w:p>
        </w:tc>
        <w:tc>
          <w:tcPr>
            <w:tcW w:w="985" w:type="pct"/>
            <w:shd w:val="clear" w:color="auto" w:fill="BFBFBF" w:themeFill="background1" w:themeFillShade="BF"/>
            <w:hideMark/>
          </w:tcPr>
          <w:p w14:paraId="159E904F" w14:textId="77777777" w:rsidR="0068741B" w:rsidRPr="00B81077" w:rsidRDefault="0068741B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B81077">
              <w:rPr>
                <w:rFonts w:ascii="Cambria" w:hAnsi="Cambria"/>
                <w:b/>
                <w:color w:val="008998"/>
                <w:sz w:val="20"/>
                <w:szCs w:val="20"/>
              </w:rPr>
              <w:t>Návrh uchádzača</w:t>
            </w:r>
          </w:p>
        </w:tc>
      </w:tr>
      <w:tr w:rsidR="00014B2C" w:rsidRPr="00B81077" w14:paraId="4EE50FA8" w14:textId="77777777" w:rsidTr="00E667DD">
        <w:tc>
          <w:tcPr>
            <w:tcW w:w="0" w:type="auto"/>
            <w:shd w:val="clear" w:color="auto" w:fill="auto"/>
            <w:vAlign w:val="center"/>
            <w:hideMark/>
          </w:tcPr>
          <w:p w14:paraId="00F2BFCE" w14:textId="1CDC3367" w:rsidR="00014B2C" w:rsidRPr="00B81077" w:rsidRDefault="00014B2C" w:rsidP="00014B2C">
            <w:pPr>
              <w:widowControl w:val="0"/>
              <w:spacing w:beforeLines="60" w:before="144" w:afterLines="60" w:after="144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B81077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Položka 1:</w:t>
            </w:r>
          </w:p>
          <w:p w14:paraId="11A8B05D" w14:textId="21E48662" w:rsidR="00014B2C" w:rsidRPr="00B81077" w:rsidRDefault="00014B2C" w:rsidP="00014B2C">
            <w:pPr>
              <w:widowControl w:val="0"/>
              <w:spacing w:beforeLines="60" w:before="144" w:afterLines="60" w:after="144"/>
              <w:rPr>
                <w:rFonts w:ascii="Cambria" w:hAnsi="Cambria"/>
                <w:sz w:val="20"/>
                <w:szCs w:val="20"/>
                <w:highlight w:val="green"/>
              </w:rPr>
            </w:pPr>
            <w:r w:rsidRPr="00B81077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Cena za dodávku dvoch (2) ks cisternových návesov (s min. objemom 50.000 l) (vrátane ostatných súvisiacich plnení spojených s dodaním diela)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7D59CF" w14:textId="77777777" w:rsidR="00014B2C" w:rsidRPr="00B81077" w:rsidRDefault="00014B2C" w:rsidP="00014B2C">
            <w:pPr>
              <w:widowControl w:val="0"/>
              <w:spacing w:beforeLines="60" w:before="144" w:afterLines="60" w:after="144"/>
              <w:rPr>
                <w:rFonts w:ascii="Cambria" w:hAnsi="Cambria" w:cs="Arial"/>
                <w:color w:val="auto"/>
                <w:sz w:val="20"/>
                <w:szCs w:val="20"/>
              </w:rPr>
            </w:pPr>
            <w:r w:rsidRPr="00B81077">
              <w:rPr>
                <w:rFonts w:ascii="Cambria" w:hAnsi="Cambria" w:cs="Arial"/>
                <w:color w:val="auto"/>
                <w:sz w:val="20"/>
                <w:szCs w:val="20"/>
              </w:rPr>
              <w:t xml:space="preserve">Celková cena v EUR </w:t>
            </w:r>
            <w:r w:rsidRPr="00B81077">
              <w:rPr>
                <w:rFonts w:ascii="Cambria" w:hAnsi="Cambria" w:cs="Arial"/>
                <w:color w:val="auto"/>
                <w:sz w:val="20"/>
                <w:szCs w:val="20"/>
                <w:u w:val="single"/>
              </w:rPr>
              <w:t>bez DPH</w:t>
            </w:r>
          </w:p>
          <w:p w14:paraId="0F829F7A" w14:textId="3613717C" w:rsidR="00014B2C" w:rsidRPr="00B81077" w:rsidRDefault="00014B2C" w:rsidP="00014B2C">
            <w:pPr>
              <w:widowControl w:val="0"/>
              <w:spacing w:beforeLines="60" w:before="144" w:afterLines="60" w:after="144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2CCDEF" w14:textId="473F2B73" w:rsidR="00014B2C" w:rsidRPr="00B81077" w:rsidRDefault="00014B2C" w:rsidP="00014B2C">
            <w:pPr>
              <w:widowControl w:val="0"/>
              <w:spacing w:beforeLines="60" w:before="144" w:afterLines="60" w:after="144"/>
              <w:rPr>
                <w:rFonts w:ascii="Cambria" w:hAnsi="Cambria"/>
                <w:i/>
                <w:sz w:val="20"/>
                <w:szCs w:val="20"/>
              </w:rPr>
            </w:pPr>
            <w:r w:rsidRPr="003A7EC7">
              <w:rPr>
                <w:rFonts w:ascii="Cambria" w:hAnsi="Cambria" w:cs="Arial"/>
                <w:i/>
                <w:color w:val="auto"/>
                <w:sz w:val="20"/>
                <w:szCs w:val="20"/>
              </w:rPr>
              <w:t>[Doplniť kladné číslo zaokrúhlené na maximálne dve desatinné miesta]</w:t>
            </w:r>
          </w:p>
        </w:tc>
      </w:tr>
      <w:tr w:rsidR="00014B2C" w:rsidRPr="00B81077" w14:paraId="1293095F" w14:textId="77777777" w:rsidTr="00E667DD">
        <w:tc>
          <w:tcPr>
            <w:tcW w:w="0" w:type="auto"/>
            <w:shd w:val="clear" w:color="auto" w:fill="auto"/>
            <w:vAlign w:val="center"/>
          </w:tcPr>
          <w:p w14:paraId="6A53174A" w14:textId="0800CDB6" w:rsidR="00014B2C" w:rsidRPr="00B81077" w:rsidRDefault="00014B2C" w:rsidP="00014B2C">
            <w:pPr>
              <w:widowControl w:val="0"/>
              <w:spacing w:beforeLines="60" w:before="144" w:afterLines="60" w:after="144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B81077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Položka 2:</w:t>
            </w:r>
          </w:p>
          <w:p w14:paraId="449684F6" w14:textId="5B3B24C2" w:rsidR="00014B2C" w:rsidRPr="00B81077" w:rsidRDefault="00014B2C" w:rsidP="00014B2C">
            <w:pPr>
              <w:widowControl w:val="0"/>
              <w:spacing w:beforeLines="60" w:before="144" w:afterLines="60" w:after="144"/>
              <w:rPr>
                <w:rFonts w:ascii="Cambria" w:hAnsi="Cambria"/>
                <w:sz w:val="20"/>
                <w:szCs w:val="20"/>
                <w:highlight w:val="green"/>
              </w:rPr>
            </w:pPr>
            <w:r w:rsidRPr="00B81077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 xml:space="preserve">Cena za dodávku jedného (1) ks cisternového návesu (s </w:t>
            </w:r>
            <w:r w:rsidRPr="00B81077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lastRenderedPageBreak/>
              <w:t>min. objemom 40.000 l, ktorý je vybavený doplnkovým vybavením) (vrátane ostatných súvisiacich plnení spojených s dodaním diela)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CED71F6" w14:textId="77777777" w:rsidR="00014B2C" w:rsidRPr="00B81077" w:rsidRDefault="00014B2C" w:rsidP="00014B2C">
            <w:pPr>
              <w:widowControl w:val="0"/>
              <w:spacing w:beforeLines="60" w:before="144" w:afterLines="60" w:after="144"/>
              <w:rPr>
                <w:rFonts w:ascii="Cambria" w:hAnsi="Cambria" w:cs="Arial"/>
                <w:color w:val="auto"/>
                <w:sz w:val="20"/>
                <w:szCs w:val="20"/>
              </w:rPr>
            </w:pPr>
            <w:r w:rsidRPr="00B81077">
              <w:rPr>
                <w:rFonts w:ascii="Cambria" w:hAnsi="Cambria" w:cs="Arial"/>
                <w:color w:val="auto"/>
                <w:sz w:val="20"/>
                <w:szCs w:val="20"/>
              </w:rPr>
              <w:lastRenderedPageBreak/>
              <w:t xml:space="preserve">Celková cena v EUR </w:t>
            </w:r>
            <w:r w:rsidRPr="00B81077">
              <w:rPr>
                <w:rFonts w:ascii="Cambria" w:hAnsi="Cambria" w:cs="Arial"/>
                <w:color w:val="auto"/>
                <w:sz w:val="20"/>
                <w:szCs w:val="20"/>
                <w:u w:val="single"/>
              </w:rPr>
              <w:t>bez DPH</w:t>
            </w:r>
          </w:p>
          <w:p w14:paraId="510A17C8" w14:textId="14CDC81D" w:rsidR="00014B2C" w:rsidRPr="00B81077" w:rsidRDefault="00014B2C" w:rsidP="00014B2C">
            <w:pPr>
              <w:widowControl w:val="0"/>
              <w:spacing w:beforeLines="60" w:before="144" w:afterLines="60" w:after="144"/>
              <w:rPr>
                <w:rFonts w:ascii="Cambria" w:hAnsi="Cambria"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B3F32F8" w14:textId="15739878" w:rsidR="00014B2C" w:rsidRPr="00B81077" w:rsidRDefault="00014B2C" w:rsidP="00014B2C">
            <w:pPr>
              <w:widowControl w:val="0"/>
              <w:spacing w:beforeLines="60" w:before="144" w:afterLines="60" w:after="144"/>
              <w:rPr>
                <w:rFonts w:ascii="Cambria" w:hAnsi="Cambria"/>
                <w:i/>
                <w:sz w:val="20"/>
                <w:szCs w:val="20"/>
              </w:rPr>
            </w:pPr>
            <w:r w:rsidRPr="003A7EC7">
              <w:rPr>
                <w:rFonts w:ascii="Cambria" w:hAnsi="Cambria" w:cs="Arial"/>
                <w:i/>
                <w:color w:val="auto"/>
                <w:sz w:val="20"/>
                <w:szCs w:val="20"/>
              </w:rPr>
              <w:lastRenderedPageBreak/>
              <w:t xml:space="preserve">[Doplniť kladné číslo zaokrúhlené na maximálne dve </w:t>
            </w:r>
            <w:r w:rsidRPr="003A7EC7">
              <w:rPr>
                <w:rFonts w:ascii="Cambria" w:hAnsi="Cambria" w:cs="Arial"/>
                <w:i/>
                <w:color w:val="auto"/>
                <w:sz w:val="20"/>
                <w:szCs w:val="20"/>
              </w:rPr>
              <w:lastRenderedPageBreak/>
              <w:t>desatinné miesta]</w:t>
            </w:r>
          </w:p>
        </w:tc>
      </w:tr>
      <w:tr w:rsidR="00E667DD" w:rsidRPr="00B81077" w14:paraId="60838B18" w14:textId="77777777" w:rsidTr="00224F53">
        <w:tc>
          <w:tcPr>
            <w:tcW w:w="0" w:type="auto"/>
            <w:shd w:val="clear" w:color="auto" w:fill="auto"/>
            <w:vAlign w:val="center"/>
          </w:tcPr>
          <w:p w14:paraId="4A74513E" w14:textId="01200653" w:rsidR="00E667DD" w:rsidRPr="00B81077" w:rsidRDefault="00E667DD" w:rsidP="00E667DD">
            <w:pPr>
              <w:widowControl w:val="0"/>
              <w:spacing w:beforeLines="60" w:before="144" w:afterLines="60" w:after="144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B81077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lastRenderedPageBreak/>
              <w:t>Položka 3:</w:t>
            </w:r>
          </w:p>
          <w:p w14:paraId="4A223934" w14:textId="3C39D66A" w:rsidR="00E667DD" w:rsidRPr="00B81077" w:rsidRDefault="00E667DD" w:rsidP="00E667DD">
            <w:pPr>
              <w:widowControl w:val="0"/>
              <w:spacing w:beforeLines="60" w:before="144" w:afterLines="60" w:after="144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81077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Cena za servis dvoch (2) ks  Cisternových návesov (s min. objemom 50.000 l) za 5 rokov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1E377A7" w14:textId="77777777" w:rsidR="00E667DD" w:rsidRPr="00B81077" w:rsidRDefault="00E667DD" w:rsidP="00E667DD">
            <w:pPr>
              <w:widowControl w:val="0"/>
              <w:spacing w:beforeLines="60" w:before="144" w:afterLines="60" w:after="144"/>
              <w:rPr>
                <w:rFonts w:ascii="Cambria" w:hAnsi="Cambria" w:cs="Arial"/>
                <w:color w:val="auto"/>
                <w:sz w:val="20"/>
                <w:szCs w:val="20"/>
              </w:rPr>
            </w:pPr>
            <w:r w:rsidRPr="00B81077">
              <w:rPr>
                <w:rFonts w:ascii="Cambria" w:hAnsi="Cambria" w:cs="Arial"/>
                <w:color w:val="auto"/>
                <w:sz w:val="20"/>
                <w:szCs w:val="20"/>
              </w:rPr>
              <w:t xml:space="preserve">Celková cena v EUR </w:t>
            </w:r>
            <w:r w:rsidRPr="00B81077">
              <w:rPr>
                <w:rFonts w:ascii="Cambria" w:hAnsi="Cambria" w:cs="Arial"/>
                <w:color w:val="auto"/>
                <w:sz w:val="20"/>
                <w:szCs w:val="20"/>
                <w:u w:val="single"/>
              </w:rPr>
              <w:t>bez DPH</w:t>
            </w:r>
          </w:p>
          <w:p w14:paraId="1DF949B3" w14:textId="77777777" w:rsidR="00E667DD" w:rsidRPr="00B81077" w:rsidRDefault="00E667DD" w:rsidP="00E667DD">
            <w:pPr>
              <w:widowControl w:val="0"/>
              <w:spacing w:beforeLines="60" w:before="144" w:afterLines="60" w:after="144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7F8D0847" w14:textId="383616A6" w:rsidR="00E667DD" w:rsidRPr="00B81077" w:rsidRDefault="00E667DD" w:rsidP="00E667DD">
            <w:pPr>
              <w:widowControl w:val="0"/>
              <w:spacing w:beforeLines="60" w:before="144" w:afterLines="60" w:after="144"/>
              <w:rPr>
                <w:rFonts w:ascii="Cambria" w:hAnsi="Cambria"/>
                <w:i/>
                <w:sz w:val="20"/>
                <w:szCs w:val="20"/>
              </w:rPr>
            </w:pPr>
            <w:r w:rsidRPr="000816DD">
              <w:rPr>
                <w:rFonts w:ascii="Cambria" w:hAnsi="Cambria" w:cs="Arial"/>
                <w:i/>
                <w:color w:val="auto"/>
                <w:sz w:val="20"/>
                <w:szCs w:val="20"/>
              </w:rPr>
              <w:t>[Doplniť kladné číslo zaokrúhlené na maximálne dve desatinné miesta]</w:t>
            </w:r>
          </w:p>
        </w:tc>
      </w:tr>
      <w:tr w:rsidR="00E667DD" w:rsidRPr="00B81077" w14:paraId="742F6ABA" w14:textId="77777777" w:rsidTr="00224F53">
        <w:tc>
          <w:tcPr>
            <w:tcW w:w="0" w:type="auto"/>
            <w:shd w:val="clear" w:color="auto" w:fill="auto"/>
            <w:vAlign w:val="center"/>
          </w:tcPr>
          <w:p w14:paraId="6B5D8A04" w14:textId="0251482A" w:rsidR="00E667DD" w:rsidRPr="00B81077" w:rsidRDefault="00E667DD" w:rsidP="00E667DD">
            <w:pPr>
              <w:widowControl w:val="0"/>
              <w:spacing w:beforeLines="60" w:before="144" w:afterLines="60" w:after="144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B81077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Položka 4:</w:t>
            </w:r>
          </w:p>
          <w:p w14:paraId="317C08F0" w14:textId="5E71FEA8" w:rsidR="00E667DD" w:rsidRPr="00B81077" w:rsidRDefault="00E667DD" w:rsidP="00E667DD">
            <w:pPr>
              <w:widowControl w:val="0"/>
              <w:spacing w:beforeLines="60" w:before="144" w:afterLines="60" w:after="144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81077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Cena za servis jedného (1) ks cisternového návesu (s min. objemom 40.000 l, ktorý je vybavený doplnkovým vybavením) za 5 rokov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6436DB0" w14:textId="77777777" w:rsidR="00E667DD" w:rsidRPr="00B81077" w:rsidRDefault="00E667DD" w:rsidP="00E667DD">
            <w:pPr>
              <w:widowControl w:val="0"/>
              <w:spacing w:beforeLines="60" w:before="144" w:afterLines="60" w:after="144"/>
              <w:rPr>
                <w:rFonts w:ascii="Cambria" w:hAnsi="Cambria" w:cs="Arial"/>
                <w:color w:val="auto"/>
                <w:sz w:val="20"/>
                <w:szCs w:val="20"/>
              </w:rPr>
            </w:pPr>
            <w:r w:rsidRPr="00B81077">
              <w:rPr>
                <w:rFonts w:ascii="Cambria" w:hAnsi="Cambria" w:cs="Arial"/>
                <w:color w:val="auto"/>
                <w:sz w:val="20"/>
                <w:szCs w:val="20"/>
              </w:rPr>
              <w:t xml:space="preserve">Celková cena v EUR </w:t>
            </w:r>
            <w:r w:rsidRPr="00B81077">
              <w:rPr>
                <w:rFonts w:ascii="Cambria" w:hAnsi="Cambria" w:cs="Arial"/>
                <w:color w:val="auto"/>
                <w:sz w:val="20"/>
                <w:szCs w:val="20"/>
                <w:u w:val="single"/>
              </w:rPr>
              <w:t>bez DPH</w:t>
            </w:r>
          </w:p>
          <w:p w14:paraId="7E6FA445" w14:textId="77777777" w:rsidR="00E667DD" w:rsidRPr="00B81077" w:rsidRDefault="00E667DD" w:rsidP="00E667DD">
            <w:pPr>
              <w:widowControl w:val="0"/>
              <w:spacing w:beforeLines="60" w:before="144" w:afterLines="60" w:after="144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1BFDD70A" w14:textId="0D7CA515" w:rsidR="00E667DD" w:rsidRPr="00B81077" w:rsidRDefault="00E667DD" w:rsidP="00E667DD">
            <w:pPr>
              <w:widowControl w:val="0"/>
              <w:spacing w:beforeLines="60" w:before="144" w:afterLines="60" w:after="144"/>
              <w:rPr>
                <w:rFonts w:ascii="Cambria" w:hAnsi="Cambria"/>
                <w:i/>
                <w:sz w:val="20"/>
                <w:szCs w:val="20"/>
              </w:rPr>
            </w:pPr>
            <w:r w:rsidRPr="000816DD">
              <w:rPr>
                <w:rFonts w:ascii="Cambria" w:hAnsi="Cambria" w:cs="Arial"/>
                <w:i/>
                <w:color w:val="auto"/>
                <w:sz w:val="20"/>
                <w:szCs w:val="20"/>
              </w:rPr>
              <w:t>[Doplniť kladné číslo zaokrúhlené na maximálne dve desatinné miesta]</w:t>
            </w:r>
          </w:p>
        </w:tc>
      </w:tr>
      <w:tr w:rsidR="00E667DD" w:rsidRPr="00B81077" w14:paraId="34EFFC7D" w14:textId="77777777" w:rsidTr="00014B2C">
        <w:trPr>
          <w:trHeight w:val="481"/>
        </w:trPr>
        <w:tc>
          <w:tcPr>
            <w:tcW w:w="4015" w:type="pct"/>
            <w:gridSpan w:val="2"/>
            <w:shd w:val="clear" w:color="auto" w:fill="BFBFBF" w:themeFill="background1" w:themeFillShade="BF"/>
            <w:vAlign w:val="center"/>
          </w:tcPr>
          <w:p w14:paraId="43244928" w14:textId="77777777" w:rsidR="00E667DD" w:rsidRPr="00B81077" w:rsidRDefault="00E667DD" w:rsidP="00E667DD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81077">
              <w:rPr>
                <w:rFonts w:ascii="Cambria" w:hAnsi="Cambria"/>
                <w:b/>
                <w:color w:val="008998"/>
                <w:sz w:val="20"/>
                <w:szCs w:val="20"/>
              </w:rPr>
              <w:t>SPOLU (súčet)</w:t>
            </w:r>
          </w:p>
        </w:tc>
        <w:tc>
          <w:tcPr>
            <w:tcW w:w="985" w:type="pct"/>
            <w:shd w:val="clear" w:color="auto" w:fill="BFBFBF" w:themeFill="background1" w:themeFillShade="BF"/>
          </w:tcPr>
          <w:p w14:paraId="62175A4C" w14:textId="77777777" w:rsidR="00E667DD" w:rsidRPr="00B81077" w:rsidRDefault="00E667DD" w:rsidP="00E667DD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B81077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</w:tc>
      </w:tr>
    </w:tbl>
    <w:p w14:paraId="75B609F2" w14:textId="3427D0E0" w:rsidR="0068741B" w:rsidRDefault="0068741B" w:rsidP="0068741B">
      <w:pPr>
        <w:widowControl w:val="0"/>
        <w:rPr>
          <w:rFonts w:ascii="Cambria" w:hAnsi="Cambria"/>
          <w:b/>
          <w:sz w:val="20"/>
          <w:szCs w:val="20"/>
        </w:rPr>
      </w:pPr>
    </w:p>
    <w:p w14:paraId="7684E75B" w14:textId="77777777" w:rsidR="00CD0876" w:rsidRDefault="00CD0876" w:rsidP="0068741B">
      <w:pPr>
        <w:widowControl w:val="0"/>
        <w:rPr>
          <w:rFonts w:ascii="Cambria" w:hAnsi="Cambria"/>
          <w:b/>
          <w:sz w:val="20"/>
          <w:szCs w:val="20"/>
        </w:rPr>
      </w:pPr>
    </w:p>
    <w:p w14:paraId="18E3355B" w14:textId="77777777" w:rsidR="004C3D40" w:rsidRPr="00B81077" w:rsidRDefault="004C3D40" w:rsidP="0068741B">
      <w:pPr>
        <w:widowControl w:val="0"/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14:paraId="271B58DD" w14:textId="77777777" w:rsidTr="00CD0876">
        <w:tc>
          <w:tcPr>
            <w:tcW w:w="4531" w:type="dxa"/>
          </w:tcPr>
          <w:p w14:paraId="7C682FAF" w14:textId="06E077C0" w:rsidR="00F77980" w:rsidRDefault="00F77980" w:rsidP="0068741B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C763B" w14:textId="27517E54" w:rsidR="008609CC" w:rsidRDefault="004C3D40" w:rsidP="0068741B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AB809F1" w14:textId="77777777" w:rsidR="004C3D40" w:rsidRDefault="004C3D40" w:rsidP="004C3D4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77777777" w:rsidR="004C3D40" w:rsidRDefault="004C3D40" w:rsidP="004C3D4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B81077" w:rsidRDefault="004C3D40" w:rsidP="004C3D4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Default="000213C0" w:rsidP="004C3D4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[</w:t>
            </w:r>
            <w:r w:rsidR="004C3D40" w:rsidRPr="00B81077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4E78982C" w14:textId="30FD4FB4" w:rsidR="004C3D40" w:rsidRDefault="000213C0" w:rsidP="004C3D40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31D08216" w14:textId="77777777" w:rsidR="008609CC" w:rsidRDefault="008609CC" w:rsidP="000213C0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609CC" w14:paraId="426A5FE7" w14:textId="77777777" w:rsidTr="00CD0876">
        <w:tc>
          <w:tcPr>
            <w:tcW w:w="4531" w:type="dxa"/>
          </w:tcPr>
          <w:p w14:paraId="5F2CEC14" w14:textId="77777777" w:rsidR="008609CC" w:rsidRDefault="008609CC" w:rsidP="0068741B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Default="008609CC" w:rsidP="0068741B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4F964434" w14:textId="77777777" w:rsidR="0068741B" w:rsidRPr="00B81077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sectPr w:rsidR="0068741B" w:rsidRPr="00B81077" w:rsidSect="00E62CEA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1F581" w14:textId="77777777" w:rsidR="0050287D" w:rsidRDefault="0050287D" w:rsidP="006F6013">
      <w:r>
        <w:separator/>
      </w:r>
    </w:p>
  </w:endnote>
  <w:endnote w:type="continuationSeparator" w:id="0">
    <w:p w14:paraId="54ECA221" w14:textId="77777777" w:rsidR="0050287D" w:rsidRDefault="0050287D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62A8C" w14:textId="77777777" w:rsidR="0050287D" w:rsidRDefault="0050287D" w:rsidP="006F6013">
      <w:r>
        <w:separator/>
      </w:r>
    </w:p>
  </w:footnote>
  <w:footnote w:type="continuationSeparator" w:id="0">
    <w:p w14:paraId="7FE47DA8" w14:textId="77777777" w:rsidR="0050287D" w:rsidRDefault="0050287D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FBEE" w14:textId="4D2CC01C" w:rsidR="00B2024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2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2"/>
  </w:p>
  <w:p w14:paraId="7B624930" w14:textId="77777777" w:rsidR="006F6013" w:rsidRDefault="006F6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73960"/>
    <w:rsid w:val="000A2844"/>
    <w:rsid w:val="000F2663"/>
    <w:rsid w:val="001258E1"/>
    <w:rsid w:val="001816EB"/>
    <w:rsid w:val="001C1581"/>
    <w:rsid w:val="00242177"/>
    <w:rsid w:val="0024471D"/>
    <w:rsid w:val="00281CDE"/>
    <w:rsid w:val="00343EB9"/>
    <w:rsid w:val="0036449F"/>
    <w:rsid w:val="003D1023"/>
    <w:rsid w:val="003D643B"/>
    <w:rsid w:val="003E5AA6"/>
    <w:rsid w:val="00411C3F"/>
    <w:rsid w:val="004C3D40"/>
    <w:rsid w:val="0050287D"/>
    <w:rsid w:val="005C2135"/>
    <w:rsid w:val="005F1C9A"/>
    <w:rsid w:val="005F5333"/>
    <w:rsid w:val="00602D34"/>
    <w:rsid w:val="00606ECA"/>
    <w:rsid w:val="00673A4C"/>
    <w:rsid w:val="0068741B"/>
    <w:rsid w:val="006D48EC"/>
    <w:rsid w:val="006F6013"/>
    <w:rsid w:val="007664CC"/>
    <w:rsid w:val="00801CED"/>
    <w:rsid w:val="00805177"/>
    <w:rsid w:val="00843110"/>
    <w:rsid w:val="0084567E"/>
    <w:rsid w:val="008609CC"/>
    <w:rsid w:val="008B2B0E"/>
    <w:rsid w:val="008B6769"/>
    <w:rsid w:val="008E58DD"/>
    <w:rsid w:val="0096467E"/>
    <w:rsid w:val="00966662"/>
    <w:rsid w:val="00A77414"/>
    <w:rsid w:val="00AD5FF9"/>
    <w:rsid w:val="00B20243"/>
    <w:rsid w:val="00B265F3"/>
    <w:rsid w:val="00B42249"/>
    <w:rsid w:val="00B81077"/>
    <w:rsid w:val="00B97BE3"/>
    <w:rsid w:val="00BF75FF"/>
    <w:rsid w:val="00C27F16"/>
    <w:rsid w:val="00C622B4"/>
    <w:rsid w:val="00C626B3"/>
    <w:rsid w:val="00CC2234"/>
    <w:rsid w:val="00CD0876"/>
    <w:rsid w:val="00D50C0A"/>
    <w:rsid w:val="00D57514"/>
    <w:rsid w:val="00D60CBC"/>
    <w:rsid w:val="00DF3E4B"/>
    <w:rsid w:val="00E62CEA"/>
    <w:rsid w:val="00E667DD"/>
    <w:rsid w:val="00F61398"/>
    <w:rsid w:val="00F630D7"/>
    <w:rsid w:val="00F77980"/>
    <w:rsid w:val="00F85391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5</cp:revision>
  <dcterms:created xsi:type="dcterms:W3CDTF">2019-04-05T07:04:00Z</dcterms:created>
  <dcterms:modified xsi:type="dcterms:W3CDTF">2019-06-20T09:30:00Z</dcterms:modified>
</cp:coreProperties>
</file>